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auto"/>
          <w:kern w:val="2"/>
          <w:sz w:val="44"/>
          <w:szCs w:val="44"/>
          <w:lang w:val="en-US" w:eastAsia="zh-CN"/>
        </w:rPr>
        <w:t>济河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灌区</w:t>
      </w:r>
      <w:r>
        <w:rPr>
          <w:rFonts w:hint="eastAsia" w:eastAsia="方正小标宋简体" w:cs="Times New Roman"/>
          <w:color w:val="auto"/>
          <w:kern w:val="2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/>
        </w:rPr>
        <w:t>年度工作报告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济河灌区位于济源城区东北部平原区，全部位于济源境内，水资源三级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属黄河二级支流济河流域，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区属小浪底～花园口干流区间，系多口无坝引水自流灌区，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年取水总量可达到527.2万方，农业取水许可批准264.5万方，河道补水取水量262.7万方。灌区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设计灌溉面积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1.76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现实际有效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灌溉面积1.26万亩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（渠灌）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多年平均灌溉面积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万亩，近年最大灌溉面积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，灌区内多为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高标准农田。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设计保障率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达5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0%，主要水源为地表水，农田灌溉水有效利用系数0.59。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灌区内主要作物为小麦、玉米等粮食作物为主及部分经济作物。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骨干工程配套率45.86%，骨干工程完好率41.38%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渠道衬砌率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节水灌溉面积0.63万亩，其中高效节水灌溉面积0.48万亩。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二、灌区水资源利用及骨干工程现状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灌区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目前依托盘溪河为主要水源，水源状况良好。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渠首工程3处；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干渠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3条，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总长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km，其中衬砌长度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km，完好长度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，完好率仅为42%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；灌溉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支渠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km，其中完好长度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，完好率仅为40%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（斗、毛渠）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水沟渠总长97km，其中完成长度45km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，完好率仅为46%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；渠道建筑物13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座，其中完好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，完好率仅为21.7%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三、工程管理情况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（一）灌区管理体制与运行机制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济河灌区管理单位原为济源市济河灌区管理所，2023年底，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根据2022年11月28日中共济源产城融合示范区工作委员会机构编制委员会下发的《关于印发济源产城融合示范区水利局所属事业单位职能配置、内设机构和人员编制规定的通知》（济区编〔2022〕55号），核定单位性质为公益一类事业单位。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目前济河灌区工作职能并入济源产城融合示范区河湖事务中心，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其中</w:t>
      </w:r>
      <w:r>
        <w:rPr>
          <w:rFonts w:hint="eastAsia" w:asci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负责济河灌区的工程管理、维修和养护工作的人员7人。干、支渠由灌区管理单位负责管理，其他渠系由镇、村管理。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（二）“两费”落实及使用情况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人员经费：机构改革后，虽然单位性质为财政全额供应事业单位，但原有灌区管理人员差额性质仍未改革到位，人员工资每年都有资金缺口，办公经费更难以保障。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运行维护经费：市财政每年给水利局济河灌区拨付水利工程维修养护经费6万元，用于灌区工程设施维护，资金缺口远不能满足工程运维需要。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（三）灌区标准化评价和节水型灌区创建情况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受经费严重不足和管护人员缺乏必要培训影响，灌区标准化建设和节水型灌区创建工作严重滞后。灌区现有的管理模式还停留在上世纪90年代的管理模式和水平。由于灌区20多年来没有进行过投资改造，距节水型管理差距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管理上，人员缺乏业务管理培训，管理理念落后；安全、工程管理上，灌区设施老化失修、部分建筑物损坏严重，对工程安全、管理造成不小安全隐患。如干渠渠道长期严重渗漏，给渠道外群众房屋造成损坏等多种安全隐患；信息化管理上目前尚属空白。标准化管理方案目前正在编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四、用水管理情况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取水许可批复用水量527.2万方，其中农田灌溉取水量264.5万方，河道补水取水量为262.7万方。2025年度实际灌溉面积0.9万亩，累计灌溉面积2万亩次。由于上半年干旱天气影响，农业灌溉用水需求量大，灌溉次数多，累计农业灌溉用水量达到260万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五、投资改造情况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济河灌区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长年未进行维护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存在问题及建议</w:t>
      </w:r>
    </w:p>
    <w:p>
      <w:pPr>
        <w:numPr>
          <w:ilvl w:val="0"/>
          <w:numId w:val="0"/>
        </w:numPr>
        <w:spacing w:line="560" w:lineRule="exact"/>
        <w:ind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济河灌区是为引蓄结合的平原灌区，是我市重要的农作物、经济作物生产基地之一，但长年运行后，出现的渠系配套不完善，老化失修严重；田间工程、末级渠系投入严重不足；低洼易涝耕地不同程度的存在排水不畅问题，灌排能力不足等问题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仿宋_GB2312" w:eastAsia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附件：济源灌区年度工作报告附表</w:t>
      </w:r>
    </w:p>
    <w:p>
      <w:pPr>
        <w:rPr>
          <w:color w:val="auto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OWM4ODllMjgzZjg0MDM1ZmNmMjQ4M2ZhZTA5YjgifQ=="/>
  </w:docVars>
  <w:rsids>
    <w:rsidRoot w:val="00000000"/>
    <w:rsid w:val="07FE6B0F"/>
    <w:rsid w:val="0EEB2DAA"/>
    <w:rsid w:val="3B1601F4"/>
    <w:rsid w:val="3EEE07AC"/>
    <w:rsid w:val="59ED152C"/>
    <w:rsid w:val="792425FF"/>
    <w:rsid w:val="7EFDF453"/>
    <w:rsid w:val="7FFB7570"/>
    <w:rsid w:val="9FC728B5"/>
    <w:rsid w:val="BFCCAF68"/>
    <w:rsid w:val="D89DCCD2"/>
    <w:rsid w:val="EF7D16D2"/>
    <w:rsid w:val="FA5838DA"/>
    <w:rsid w:val="FE7FD837"/>
    <w:rsid w:val="FFB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</w:pPr>
    <w:rPr>
      <w:rFonts w:ascii="Times New Roman" w:hAnsi="Times New Roman" w:eastAsia="仿宋" w:cstheme="minorBidi"/>
      <w:sz w:val="28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00" w:lineRule="atLeast"/>
      <w:ind w:firstLine="567"/>
      <w:textAlignment w:val="baseline"/>
    </w:pPr>
    <w:rPr>
      <w:rFonts w:eastAsia="仿宋_GB2312"/>
      <w:sz w:val="28"/>
      <w:szCs w:val="24"/>
    </w:rPr>
  </w:style>
  <w:style w:type="paragraph" w:styleId="3">
    <w:name w:val="Body Text"/>
    <w:qFormat/>
    <w:uiPriority w:val="1"/>
    <w:pPr>
      <w:widowControl w:val="0"/>
      <w:adjustRightInd w:val="0"/>
      <w:snapToGrid w:val="0"/>
      <w:spacing w:after="120" w:line="360" w:lineRule="auto"/>
      <w:ind w:firstLine="480"/>
      <w:jc w:val="left"/>
    </w:pPr>
    <w:rPr>
      <w:rFonts w:ascii="宋体" w:hAnsi="宋体" w:eastAsia="仿宋" w:cstheme="minorBidi"/>
      <w:kern w:val="24"/>
      <w:sz w:val="24"/>
      <w:szCs w:val="22"/>
      <w:lang w:val="en-NZ" w:eastAsia="en-US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="Times New Roman" w:hAnsi="Times New Roman" w:eastAsia="仿宋" w:cstheme="minorBidi"/>
      <w:sz w:val="1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2025-01-07T06:24:00Z</dcterms:created>
  <dc:creator>hp</dc:creator>
  <cp:lastModifiedBy>greatwall</cp:lastModifiedBy>
  <cp:lastPrinted>2025-12-30T16:17:22Z</cp:lastPrinted>
  <dcterms:modified xsi:type="dcterms:W3CDTF">2025-12-30T16:17:40Z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3CF2F2EDD9B14C3D93621DC14810D014_12</vt:lpwstr>
  </property>
</Properties>
</file>